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818B" w14:textId="0F056E97" w:rsidR="007A080D" w:rsidRPr="009F4D6C" w:rsidRDefault="007A080D" w:rsidP="007A080D">
      <w:pPr>
        <w:jc w:val="left"/>
        <w:rPr>
          <w:b/>
          <w:sz w:val="24"/>
          <w:szCs w:val="24"/>
        </w:rPr>
      </w:pPr>
      <w:bookmarkStart w:id="0" w:name="_Hlk1554475"/>
      <w:r w:rsidRPr="009F4D6C">
        <w:rPr>
          <w:noProof/>
        </w:rPr>
        <w:drawing>
          <wp:inline distT="0" distB="0" distL="0" distR="0" wp14:anchorId="665FFCA6" wp14:editId="0B6C4B64">
            <wp:extent cx="3343275" cy="352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F217A" w14:textId="77777777" w:rsidR="007A080D" w:rsidRPr="009C00C8" w:rsidRDefault="007A080D" w:rsidP="007A080D">
      <w:pPr>
        <w:jc w:val="center"/>
        <w:rPr>
          <w:b/>
          <w:sz w:val="24"/>
          <w:szCs w:val="24"/>
        </w:rPr>
      </w:pPr>
    </w:p>
    <w:p w14:paraId="39E70EEE" w14:textId="2B162C39" w:rsidR="008710BB" w:rsidRDefault="007A080D" w:rsidP="009E4E79">
      <w:pPr>
        <w:spacing w:after="160" w:line="259" w:lineRule="auto"/>
        <w:jc w:val="center"/>
        <w:rPr>
          <w:b/>
          <w:szCs w:val="22"/>
        </w:rPr>
      </w:pPr>
      <w:r w:rsidRPr="00D07380">
        <w:rPr>
          <w:b/>
          <w:szCs w:val="22"/>
        </w:rPr>
        <w:t>APPEAL REF:</w:t>
      </w:r>
      <w:r w:rsidRPr="00D07380">
        <w:rPr>
          <w:rFonts w:eastAsia="Calibri"/>
          <w:b/>
          <w:szCs w:val="22"/>
          <w:lang w:eastAsia="en-US"/>
        </w:rPr>
        <w:t xml:space="preserve"> </w:t>
      </w:r>
      <w:r w:rsidRPr="00D07380">
        <w:rPr>
          <w:b/>
          <w:szCs w:val="22"/>
        </w:rPr>
        <w:t>APP/</w:t>
      </w:r>
      <w:r w:rsidR="008710BB">
        <w:rPr>
          <w:b/>
          <w:szCs w:val="22"/>
        </w:rPr>
        <w:t>J4423/</w:t>
      </w:r>
      <w:r w:rsidRPr="00D07380">
        <w:rPr>
          <w:b/>
          <w:szCs w:val="22"/>
        </w:rPr>
        <w:t>W/2</w:t>
      </w:r>
      <w:r w:rsidR="008710BB">
        <w:rPr>
          <w:b/>
          <w:szCs w:val="22"/>
        </w:rPr>
        <w:t>1</w:t>
      </w:r>
      <w:r w:rsidRPr="00D07380">
        <w:rPr>
          <w:b/>
          <w:szCs w:val="22"/>
        </w:rPr>
        <w:t>/32</w:t>
      </w:r>
      <w:r w:rsidR="00E92EA7">
        <w:rPr>
          <w:b/>
          <w:szCs w:val="22"/>
        </w:rPr>
        <w:t>67168</w:t>
      </w:r>
    </w:p>
    <w:p w14:paraId="05743784" w14:textId="6D47DEB0" w:rsidR="007A080D" w:rsidRPr="00D07380" w:rsidRDefault="007A080D" w:rsidP="009E4E79">
      <w:pPr>
        <w:spacing w:after="160" w:line="259" w:lineRule="auto"/>
        <w:jc w:val="center"/>
        <w:rPr>
          <w:rFonts w:cs="Arial"/>
          <w:b/>
          <w:szCs w:val="22"/>
        </w:rPr>
      </w:pPr>
      <w:r w:rsidRPr="00D07380">
        <w:rPr>
          <w:b/>
          <w:szCs w:val="22"/>
        </w:rPr>
        <w:t xml:space="preserve">Land </w:t>
      </w:r>
      <w:r w:rsidR="00E92EA7">
        <w:rPr>
          <w:b/>
          <w:szCs w:val="22"/>
        </w:rPr>
        <w:t xml:space="preserve">at Junction </w:t>
      </w:r>
      <w:r w:rsidR="00AE3087">
        <w:rPr>
          <w:b/>
          <w:szCs w:val="22"/>
        </w:rPr>
        <w:t>with Carr Road and Hollin Busk Lane</w:t>
      </w:r>
      <w:r w:rsidR="00732A72" w:rsidRPr="00D07380">
        <w:rPr>
          <w:b/>
          <w:szCs w:val="22"/>
        </w:rPr>
        <w:t xml:space="preserve">, </w:t>
      </w:r>
      <w:r w:rsidR="009E4E79">
        <w:rPr>
          <w:b/>
          <w:szCs w:val="22"/>
        </w:rPr>
        <w:t>Sheffield S</w:t>
      </w:r>
      <w:r w:rsidR="006C1D07">
        <w:rPr>
          <w:b/>
          <w:szCs w:val="22"/>
        </w:rPr>
        <w:t>36 1GH</w:t>
      </w:r>
    </w:p>
    <w:p w14:paraId="5CD6C6F7" w14:textId="5DF89EF6" w:rsidR="005F553B" w:rsidRPr="00D07380" w:rsidRDefault="00EF1740" w:rsidP="007A080D">
      <w:pPr>
        <w:jc w:val="center"/>
        <w:rPr>
          <w:rFonts w:cs="Arial"/>
          <w:b/>
          <w:szCs w:val="22"/>
        </w:rPr>
      </w:pPr>
      <w:r w:rsidRPr="00D07380">
        <w:rPr>
          <w:rFonts w:cs="Arial"/>
          <w:b/>
          <w:szCs w:val="22"/>
        </w:rPr>
        <w:t xml:space="preserve">Round Table Session – </w:t>
      </w:r>
      <w:r w:rsidR="00524220">
        <w:rPr>
          <w:rFonts w:cs="Arial"/>
          <w:b/>
          <w:szCs w:val="22"/>
        </w:rPr>
        <w:t xml:space="preserve">Character and Appearance (landscape &amp; visual) </w:t>
      </w:r>
    </w:p>
    <w:p w14:paraId="161EE0B3" w14:textId="77777777" w:rsidR="005F553B" w:rsidRPr="00D07380" w:rsidRDefault="005F553B" w:rsidP="007A080D">
      <w:pPr>
        <w:jc w:val="center"/>
        <w:rPr>
          <w:rFonts w:cs="Arial"/>
          <w:b/>
          <w:szCs w:val="22"/>
        </w:rPr>
      </w:pPr>
    </w:p>
    <w:p w14:paraId="64FDB787" w14:textId="575A79D2" w:rsidR="007A080D" w:rsidRPr="00D07380" w:rsidRDefault="007A080D" w:rsidP="007A080D">
      <w:pPr>
        <w:jc w:val="center"/>
        <w:rPr>
          <w:rFonts w:cs="Arial"/>
          <w:b/>
          <w:szCs w:val="22"/>
        </w:rPr>
      </w:pPr>
      <w:r w:rsidRPr="00D07380">
        <w:rPr>
          <w:rFonts w:cs="Arial"/>
          <w:b/>
          <w:szCs w:val="22"/>
        </w:rPr>
        <w:t xml:space="preserve">  </w:t>
      </w:r>
      <w:r w:rsidR="00524220">
        <w:rPr>
          <w:rFonts w:cs="Arial"/>
          <w:b/>
          <w:szCs w:val="22"/>
        </w:rPr>
        <w:t>09</w:t>
      </w:r>
      <w:r w:rsidR="00C35D9D" w:rsidRPr="00D07380">
        <w:rPr>
          <w:rFonts w:cs="Arial"/>
          <w:b/>
          <w:szCs w:val="22"/>
        </w:rPr>
        <w:t>.30</w:t>
      </w:r>
      <w:r w:rsidRPr="00D07380">
        <w:rPr>
          <w:rFonts w:cs="Arial"/>
          <w:b/>
          <w:szCs w:val="22"/>
        </w:rPr>
        <w:t xml:space="preserve"> on </w:t>
      </w:r>
      <w:r w:rsidR="00524220">
        <w:rPr>
          <w:rFonts w:cs="Arial"/>
          <w:b/>
          <w:szCs w:val="22"/>
        </w:rPr>
        <w:t xml:space="preserve">Wednesday </w:t>
      </w:r>
      <w:r w:rsidR="00222C75">
        <w:rPr>
          <w:rFonts w:cs="Arial"/>
          <w:b/>
          <w:szCs w:val="22"/>
        </w:rPr>
        <w:t>2</w:t>
      </w:r>
      <w:r w:rsidR="00524220">
        <w:rPr>
          <w:rFonts w:cs="Arial"/>
          <w:b/>
          <w:szCs w:val="22"/>
        </w:rPr>
        <w:t>3</w:t>
      </w:r>
      <w:r w:rsidRPr="00D07380">
        <w:rPr>
          <w:rFonts w:cs="Arial"/>
          <w:b/>
          <w:szCs w:val="22"/>
        </w:rPr>
        <w:t xml:space="preserve"> </w:t>
      </w:r>
      <w:r w:rsidR="00222C75">
        <w:rPr>
          <w:rFonts w:cs="Arial"/>
          <w:b/>
          <w:szCs w:val="22"/>
        </w:rPr>
        <w:t>June</w:t>
      </w:r>
      <w:r w:rsidRPr="00D07380">
        <w:rPr>
          <w:rFonts w:cs="Arial"/>
          <w:b/>
          <w:szCs w:val="22"/>
        </w:rPr>
        <w:t xml:space="preserve"> 202</w:t>
      </w:r>
      <w:r w:rsidR="00EA319E">
        <w:rPr>
          <w:rFonts w:cs="Arial"/>
          <w:b/>
          <w:szCs w:val="22"/>
        </w:rPr>
        <w:t>1</w:t>
      </w:r>
    </w:p>
    <w:p w14:paraId="7476B14C" w14:textId="77777777" w:rsidR="007A080D" w:rsidRPr="00D07380" w:rsidRDefault="007A080D" w:rsidP="007A080D">
      <w:pPr>
        <w:jc w:val="center"/>
        <w:rPr>
          <w:rFonts w:cs="Arial"/>
          <w:b/>
          <w:szCs w:val="22"/>
        </w:rPr>
      </w:pPr>
    </w:p>
    <w:bookmarkEnd w:id="0"/>
    <w:p w14:paraId="316FDA8E" w14:textId="57687B62" w:rsidR="007A080D" w:rsidRDefault="007A080D" w:rsidP="007A080D">
      <w:pPr>
        <w:jc w:val="center"/>
        <w:rPr>
          <w:rFonts w:cs="Arial"/>
          <w:b/>
          <w:szCs w:val="22"/>
        </w:rPr>
      </w:pPr>
      <w:r w:rsidRPr="00D07380">
        <w:rPr>
          <w:rFonts w:cs="Arial"/>
          <w:b/>
          <w:szCs w:val="22"/>
        </w:rPr>
        <w:t>AGENDA</w:t>
      </w:r>
    </w:p>
    <w:p w14:paraId="5E5235D1" w14:textId="77777777" w:rsidR="00A56C8A" w:rsidRPr="00D07380" w:rsidRDefault="00A56C8A" w:rsidP="007A080D">
      <w:pPr>
        <w:jc w:val="center"/>
        <w:rPr>
          <w:rFonts w:cs="Arial"/>
          <w:b/>
          <w:szCs w:val="22"/>
        </w:rPr>
      </w:pPr>
    </w:p>
    <w:p w14:paraId="65D5E190" w14:textId="77777777" w:rsidR="00A465AF" w:rsidRPr="00D07380" w:rsidRDefault="00A465AF" w:rsidP="00A465AF">
      <w:pPr>
        <w:jc w:val="center"/>
        <w:rPr>
          <w:rFonts w:cs="Arial"/>
          <w:bCs/>
          <w:szCs w:val="22"/>
        </w:rPr>
      </w:pPr>
    </w:p>
    <w:p w14:paraId="593B3CC2" w14:textId="63B8260F" w:rsidR="00A465AF" w:rsidRDefault="006652F0" w:rsidP="00A93504">
      <w:pPr>
        <w:pStyle w:val="ListParagraph"/>
        <w:numPr>
          <w:ilvl w:val="0"/>
          <w:numId w:val="1"/>
        </w:numPr>
        <w:ind w:left="567" w:hanging="567"/>
        <w:jc w:val="left"/>
        <w:rPr>
          <w:rFonts w:cs="Arial"/>
          <w:bCs/>
          <w:szCs w:val="22"/>
        </w:rPr>
      </w:pPr>
      <w:r w:rsidRPr="00D07380">
        <w:rPr>
          <w:rFonts w:cs="Arial"/>
          <w:bCs/>
          <w:szCs w:val="22"/>
        </w:rPr>
        <w:t>I</w:t>
      </w:r>
      <w:r w:rsidR="00A465AF" w:rsidRPr="00D07380">
        <w:rPr>
          <w:rFonts w:cs="Arial"/>
          <w:bCs/>
          <w:szCs w:val="22"/>
        </w:rPr>
        <w:t>ntroduction by the Inspector</w:t>
      </w:r>
    </w:p>
    <w:p w14:paraId="2A98F035" w14:textId="570B7AE4" w:rsidR="00F3634E" w:rsidRDefault="00F3634E" w:rsidP="00A93504">
      <w:pPr>
        <w:ind w:left="567" w:hanging="567"/>
        <w:jc w:val="left"/>
        <w:rPr>
          <w:rFonts w:cs="Arial"/>
          <w:bCs/>
          <w:szCs w:val="22"/>
        </w:rPr>
      </w:pPr>
    </w:p>
    <w:p w14:paraId="6E766E44" w14:textId="0AF2980B" w:rsidR="00F3634E" w:rsidRPr="00F3634E" w:rsidRDefault="00F3634E" w:rsidP="00A93504">
      <w:pPr>
        <w:pStyle w:val="ListParagraph"/>
        <w:numPr>
          <w:ilvl w:val="0"/>
          <w:numId w:val="1"/>
        </w:numPr>
        <w:ind w:left="567" w:hanging="567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Introduction to parties present</w:t>
      </w:r>
    </w:p>
    <w:p w14:paraId="5096CA73" w14:textId="77777777" w:rsidR="00A465AF" w:rsidRPr="00D07380" w:rsidRDefault="00A465AF" w:rsidP="00A93504">
      <w:pPr>
        <w:ind w:left="567" w:hanging="567"/>
        <w:jc w:val="left"/>
        <w:rPr>
          <w:rFonts w:cs="Arial"/>
          <w:bCs/>
          <w:szCs w:val="22"/>
        </w:rPr>
      </w:pPr>
    </w:p>
    <w:p w14:paraId="62E765B6" w14:textId="0C13FA71" w:rsidR="00D07380" w:rsidRDefault="00524220" w:rsidP="00A93504">
      <w:pPr>
        <w:pStyle w:val="ListParagraph"/>
        <w:numPr>
          <w:ilvl w:val="0"/>
          <w:numId w:val="1"/>
        </w:numPr>
        <w:ind w:left="567" w:hanging="567"/>
        <w:jc w:val="left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Character </w:t>
      </w:r>
      <w:r w:rsidR="00D07380" w:rsidRPr="00D07380">
        <w:rPr>
          <w:rFonts w:cstheme="minorHAnsi"/>
          <w:color w:val="000000"/>
          <w:szCs w:val="22"/>
        </w:rPr>
        <w:t xml:space="preserve">Overview and </w:t>
      </w:r>
      <w:r>
        <w:rPr>
          <w:rFonts w:cstheme="minorHAnsi"/>
          <w:color w:val="000000"/>
          <w:szCs w:val="22"/>
        </w:rPr>
        <w:t>key areas of agreement</w:t>
      </w:r>
      <w:r w:rsidR="00D07380" w:rsidRPr="00D07380">
        <w:rPr>
          <w:rFonts w:cstheme="minorHAnsi"/>
          <w:color w:val="000000"/>
          <w:szCs w:val="22"/>
        </w:rPr>
        <w:t xml:space="preserve">  </w:t>
      </w:r>
    </w:p>
    <w:p w14:paraId="58D350F2" w14:textId="77777777" w:rsidR="00F35DCB" w:rsidRPr="00F35DCB" w:rsidRDefault="00F35DCB" w:rsidP="00A93504">
      <w:pPr>
        <w:pStyle w:val="ListParagraph"/>
        <w:ind w:left="567" w:hanging="567"/>
        <w:rPr>
          <w:rFonts w:cstheme="minorHAnsi"/>
          <w:color w:val="000000"/>
          <w:szCs w:val="22"/>
        </w:rPr>
      </w:pPr>
    </w:p>
    <w:p w14:paraId="1BB70F51" w14:textId="09A4E81D" w:rsidR="00F35DCB" w:rsidRPr="00D07380" w:rsidRDefault="00F35DCB" w:rsidP="00A93504">
      <w:pPr>
        <w:pStyle w:val="ListParagraph"/>
        <w:numPr>
          <w:ilvl w:val="0"/>
          <w:numId w:val="1"/>
        </w:numPr>
        <w:ind w:left="567" w:hanging="567"/>
        <w:jc w:val="left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Relevant </w:t>
      </w:r>
      <w:r w:rsidR="009C3ABF">
        <w:rPr>
          <w:rFonts w:cstheme="minorHAnsi"/>
          <w:color w:val="000000"/>
          <w:szCs w:val="22"/>
        </w:rPr>
        <w:t>decision-making</w:t>
      </w:r>
      <w:r w:rsidR="00E15F83">
        <w:rPr>
          <w:rFonts w:cstheme="minorHAnsi"/>
          <w:color w:val="000000"/>
          <w:szCs w:val="22"/>
        </w:rPr>
        <w:t xml:space="preserve"> framework</w:t>
      </w:r>
    </w:p>
    <w:p w14:paraId="4881D575" w14:textId="77777777" w:rsidR="00D07380" w:rsidRDefault="00D07380" w:rsidP="00A93504">
      <w:pPr>
        <w:ind w:left="567" w:hanging="567"/>
        <w:jc w:val="left"/>
        <w:rPr>
          <w:rFonts w:cstheme="minorHAnsi"/>
          <w:color w:val="000000"/>
          <w:szCs w:val="22"/>
        </w:rPr>
      </w:pPr>
    </w:p>
    <w:p w14:paraId="121BCEA7" w14:textId="5784DEAE" w:rsidR="00C03D23" w:rsidRDefault="006F37EF" w:rsidP="00A93504">
      <w:pPr>
        <w:pStyle w:val="ListParagraph"/>
        <w:numPr>
          <w:ilvl w:val="0"/>
          <w:numId w:val="1"/>
        </w:numPr>
        <w:ind w:left="567" w:hanging="567"/>
        <w:jc w:val="left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Summary of </w:t>
      </w:r>
      <w:r w:rsidR="00D07380" w:rsidRPr="00D07380">
        <w:rPr>
          <w:rFonts w:cstheme="minorHAnsi"/>
          <w:color w:val="000000"/>
          <w:szCs w:val="22"/>
        </w:rPr>
        <w:t xml:space="preserve">consultee comments </w:t>
      </w:r>
    </w:p>
    <w:p w14:paraId="335F2B74" w14:textId="77777777" w:rsidR="00524220" w:rsidRPr="00524220" w:rsidRDefault="00524220" w:rsidP="00A93504">
      <w:pPr>
        <w:pStyle w:val="ListParagraph"/>
        <w:ind w:left="567" w:hanging="567"/>
        <w:rPr>
          <w:rFonts w:cstheme="minorHAnsi"/>
          <w:color w:val="000000"/>
          <w:szCs w:val="22"/>
        </w:rPr>
      </w:pPr>
    </w:p>
    <w:p w14:paraId="72C8187A" w14:textId="7E70EC39" w:rsidR="00524220" w:rsidRDefault="00524220" w:rsidP="00A93504">
      <w:pPr>
        <w:numPr>
          <w:ilvl w:val="0"/>
          <w:numId w:val="1"/>
        </w:numPr>
        <w:ind w:left="567" w:hanging="567"/>
        <w:jc w:val="left"/>
        <w:rPr>
          <w:color w:val="000000"/>
        </w:rPr>
      </w:pPr>
      <w:r>
        <w:rPr>
          <w:color w:val="000000"/>
        </w:rPr>
        <w:t>Design principles, mitigation, enhancement and Green Infrastructure</w:t>
      </w:r>
    </w:p>
    <w:p w14:paraId="663E0A96" w14:textId="77777777" w:rsidR="00524220" w:rsidRDefault="00524220" w:rsidP="00A93504">
      <w:pPr>
        <w:pStyle w:val="ListParagraph"/>
        <w:ind w:left="567" w:hanging="567"/>
        <w:rPr>
          <w:color w:val="000000"/>
        </w:rPr>
      </w:pPr>
    </w:p>
    <w:p w14:paraId="1ABC8188" w14:textId="119E8542" w:rsidR="00524220" w:rsidRDefault="00524220" w:rsidP="00A93504">
      <w:pPr>
        <w:pStyle w:val="ListParagraph"/>
        <w:numPr>
          <w:ilvl w:val="0"/>
          <w:numId w:val="1"/>
        </w:numPr>
        <w:ind w:left="567" w:hanging="567"/>
        <w:jc w:val="left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Key areas of disagreement</w:t>
      </w:r>
    </w:p>
    <w:p w14:paraId="69584E4A" w14:textId="77777777" w:rsidR="00524220" w:rsidRPr="00524220" w:rsidRDefault="00524220" w:rsidP="00A93504">
      <w:pPr>
        <w:pStyle w:val="ListParagraph"/>
        <w:ind w:left="567" w:hanging="567"/>
        <w:rPr>
          <w:rFonts w:cstheme="minorHAnsi"/>
          <w:color w:val="000000"/>
          <w:szCs w:val="22"/>
        </w:rPr>
      </w:pPr>
    </w:p>
    <w:p w14:paraId="20FECFDB" w14:textId="77777777" w:rsidR="00524220" w:rsidRDefault="00524220" w:rsidP="00A93504">
      <w:pPr>
        <w:numPr>
          <w:ilvl w:val="1"/>
          <w:numId w:val="1"/>
        </w:numPr>
        <w:ind w:left="851" w:hanging="284"/>
        <w:jc w:val="left"/>
        <w:rPr>
          <w:color w:val="000000"/>
        </w:rPr>
      </w:pPr>
      <w:r>
        <w:rPr>
          <w:color w:val="000000"/>
        </w:rPr>
        <w:t xml:space="preserve">methodological approach of the LVA (i.e. seasonal time of assessment and use of photomontages) </w:t>
      </w:r>
    </w:p>
    <w:p w14:paraId="6A78CE36" w14:textId="5EA33F9C" w:rsidR="00524220" w:rsidRDefault="00A93504" w:rsidP="00A93504">
      <w:pPr>
        <w:numPr>
          <w:ilvl w:val="1"/>
          <w:numId w:val="1"/>
        </w:numPr>
        <w:ind w:left="851" w:hanging="284"/>
        <w:jc w:val="left"/>
        <w:rPr>
          <w:color w:val="000000"/>
        </w:rPr>
      </w:pPr>
      <w:r>
        <w:rPr>
          <w:color w:val="000000"/>
        </w:rPr>
        <w:t>s</w:t>
      </w:r>
      <w:r w:rsidR="00524220">
        <w:rPr>
          <w:color w:val="000000"/>
        </w:rPr>
        <w:t>ite description, history and surroundings</w:t>
      </w:r>
    </w:p>
    <w:p w14:paraId="378BDCA9" w14:textId="2EFF0075" w:rsidR="00524220" w:rsidRDefault="00A93504" w:rsidP="00A93504">
      <w:pPr>
        <w:numPr>
          <w:ilvl w:val="1"/>
          <w:numId w:val="1"/>
        </w:numPr>
        <w:ind w:left="851" w:hanging="284"/>
        <w:jc w:val="left"/>
        <w:rPr>
          <w:color w:val="000000"/>
        </w:rPr>
      </w:pPr>
      <w:r>
        <w:rPr>
          <w:color w:val="000000"/>
        </w:rPr>
        <w:t>p</w:t>
      </w:r>
      <w:r w:rsidR="00524220">
        <w:rPr>
          <w:color w:val="000000"/>
        </w:rPr>
        <w:t>olicy (including Green Belt) and designations</w:t>
      </w:r>
    </w:p>
    <w:p w14:paraId="0B9D2094" w14:textId="268E3B7F" w:rsidR="00524220" w:rsidRDefault="00524220" w:rsidP="00A93504">
      <w:pPr>
        <w:numPr>
          <w:ilvl w:val="1"/>
          <w:numId w:val="1"/>
        </w:numPr>
        <w:ind w:left="851" w:hanging="284"/>
        <w:jc w:val="left"/>
        <w:rPr>
          <w:color w:val="000000"/>
        </w:rPr>
      </w:pPr>
      <w:r>
        <w:rPr>
          <w:color w:val="000000"/>
        </w:rPr>
        <w:t>Considerations against GLVIA Box 5.1</w:t>
      </w:r>
    </w:p>
    <w:p w14:paraId="7CDB7ED3" w14:textId="77777777" w:rsidR="00524220" w:rsidRDefault="00524220" w:rsidP="00A93504">
      <w:pPr>
        <w:numPr>
          <w:ilvl w:val="1"/>
          <w:numId w:val="1"/>
        </w:numPr>
        <w:ind w:left="851" w:hanging="284"/>
        <w:jc w:val="left"/>
        <w:rPr>
          <w:color w:val="000000"/>
        </w:rPr>
      </w:pPr>
      <w:r>
        <w:rPr>
          <w:color w:val="000000"/>
        </w:rPr>
        <w:t>further viewpoint locations identified by Council and their relevance;</w:t>
      </w:r>
    </w:p>
    <w:p w14:paraId="0B9D6E86" w14:textId="77777777" w:rsidR="00524220" w:rsidRDefault="00524220" w:rsidP="00A93504">
      <w:pPr>
        <w:numPr>
          <w:ilvl w:val="1"/>
          <w:numId w:val="1"/>
        </w:numPr>
        <w:ind w:left="851" w:hanging="284"/>
        <w:jc w:val="left"/>
        <w:rPr>
          <w:color w:val="000000"/>
        </w:rPr>
      </w:pPr>
      <w:r>
        <w:rPr>
          <w:color w:val="000000"/>
        </w:rPr>
        <w:t xml:space="preserve">landscape quality of the site and immediate surrounding area, including settlement pattern and townscape; and any contribution the site makes to settlement separation/providing a visual break   </w:t>
      </w:r>
    </w:p>
    <w:p w14:paraId="31A5C68C" w14:textId="77777777" w:rsidR="00524220" w:rsidRDefault="00524220" w:rsidP="00A93504">
      <w:pPr>
        <w:ind w:left="426" w:firstLine="141"/>
        <w:rPr>
          <w:color w:val="000000"/>
        </w:rPr>
      </w:pPr>
    </w:p>
    <w:p w14:paraId="096B02D5" w14:textId="66A43F4B" w:rsidR="00524220" w:rsidRDefault="00A93504" w:rsidP="00A93504">
      <w:pPr>
        <w:pStyle w:val="ListParagraph"/>
        <w:numPr>
          <w:ilvl w:val="0"/>
          <w:numId w:val="1"/>
        </w:numPr>
        <w:ind w:left="567" w:hanging="567"/>
        <w:jc w:val="left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Effects o</w:t>
      </w:r>
      <w:r w:rsidR="00F936C7">
        <w:rPr>
          <w:rFonts w:cstheme="minorHAnsi"/>
          <w:color w:val="000000"/>
          <w:szCs w:val="22"/>
        </w:rPr>
        <w:t xml:space="preserve">n the </w:t>
      </w:r>
      <w:r>
        <w:rPr>
          <w:rFonts w:cstheme="minorHAnsi"/>
          <w:color w:val="000000"/>
          <w:szCs w:val="22"/>
        </w:rPr>
        <w:t>character of the site</w:t>
      </w:r>
    </w:p>
    <w:p w14:paraId="1633974C" w14:textId="77777777" w:rsidR="00A93504" w:rsidRPr="00A93504" w:rsidRDefault="00A93504" w:rsidP="00A93504">
      <w:pPr>
        <w:ind w:left="567" w:hanging="567"/>
        <w:jc w:val="left"/>
        <w:rPr>
          <w:rFonts w:cstheme="minorHAnsi"/>
          <w:color w:val="000000"/>
          <w:szCs w:val="22"/>
        </w:rPr>
      </w:pPr>
    </w:p>
    <w:p w14:paraId="28A84AAA" w14:textId="4EDE09C9" w:rsidR="00A93504" w:rsidRDefault="00A93504" w:rsidP="00A93504">
      <w:pPr>
        <w:pStyle w:val="ListParagraph"/>
        <w:numPr>
          <w:ilvl w:val="0"/>
          <w:numId w:val="1"/>
        </w:numPr>
        <w:ind w:left="567" w:hanging="567"/>
        <w:jc w:val="left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Effects on character and appearance of the area</w:t>
      </w:r>
    </w:p>
    <w:p w14:paraId="6DE3EC71" w14:textId="77777777" w:rsidR="00A93504" w:rsidRPr="00A93504" w:rsidRDefault="00A93504" w:rsidP="00A93504">
      <w:pPr>
        <w:pStyle w:val="ListParagraph"/>
        <w:ind w:left="567" w:hanging="567"/>
        <w:rPr>
          <w:rFonts w:cstheme="minorHAnsi"/>
          <w:color w:val="000000"/>
          <w:szCs w:val="22"/>
        </w:rPr>
      </w:pPr>
    </w:p>
    <w:p w14:paraId="3507D9DE" w14:textId="579988CE" w:rsidR="00A93504" w:rsidRDefault="00A93504" w:rsidP="00A93504">
      <w:pPr>
        <w:pStyle w:val="ListParagraph"/>
        <w:numPr>
          <w:ilvl w:val="0"/>
          <w:numId w:val="1"/>
        </w:numPr>
        <w:ind w:left="567" w:hanging="567"/>
        <w:jc w:val="left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Effects on local and wider visual amenity.</w:t>
      </w:r>
    </w:p>
    <w:p w14:paraId="0F832793" w14:textId="77777777" w:rsidR="00A93504" w:rsidRPr="00A93504" w:rsidRDefault="00A93504" w:rsidP="00A93504">
      <w:pPr>
        <w:pStyle w:val="ListParagraph"/>
        <w:rPr>
          <w:rFonts w:cstheme="minorHAnsi"/>
          <w:color w:val="000000"/>
          <w:szCs w:val="22"/>
        </w:rPr>
      </w:pPr>
    </w:p>
    <w:p w14:paraId="38221B6E" w14:textId="540893D6" w:rsidR="00A93504" w:rsidRDefault="00A93504" w:rsidP="00A93504">
      <w:pPr>
        <w:pStyle w:val="ListParagraph"/>
        <w:numPr>
          <w:ilvl w:val="0"/>
          <w:numId w:val="1"/>
        </w:numPr>
        <w:ind w:left="567" w:hanging="567"/>
        <w:jc w:val="left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Summary of positions</w:t>
      </w:r>
    </w:p>
    <w:p w14:paraId="20375FB6" w14:textId="77777777" w:rsidR="00A93504" w:rsidRPr="00A93504" w:rsidRDefault="00A93504" w:rsidP="00A93504">
      <w:pPr>
        <w:pStyle w:val="ListParagraph"/>
        <w:rPr>
          <w:rFonts w:cstheme="minorHAnsi"/>
          <w:color w:val="000000"/>
          <w:szCs w:val="22"/>
        </w:rPr>
      </w:pPr>
    </w:p>
    <w:p w14:paraId="7AC46F94" w14:textId="257183A9" w:rsidR="007C27D6" w:rsidRPr="00A93504" w:rsidRDefault="00A93504" w:rsidP="00A56C8A">
      <w:pPr>
        <w:pStyle w:val="ListParagraph"/>
        <w:numPr>
          <w:ilvl w:val="0"/>
          <w:numId w:val="1"/>
        </w:numPr>
        <w:contextualSpacing w:val="0"/>
        <w:jc w:val="left"/>
        <w:rPr>
          <w:color w:val="000000"/>
        </w:rPr>
      </w:pPr>
      <w:r>
        <w:rPr>
          <w:rFonts w:cstheme="minorHAnsi"/>
          <w:color w:val="000000"/>
          <w:szCs w:val="22"/>
        </w:rPr>
        <w:t xml:space="preserve">  </w:t>
      </w:r>
      <w:r w:rsidRPr="00A93504">
        <w:rPr>
          <w:rFonts w:cstheme="minorHAnsi"/>
          <w:color w:val="000000"/>
          <w:szCs w:val="22"/>
        </w:rPr>
        <w:t>Conclusions and any further areas of agreement</w:t>
      </w:r>
    </w:p>
    <w:p w14:paraId="3B956C0D" w14:textId="77777777" w:rsidR="001E0D4A" w:rsidRPr="001E0D4A" w:rsidRDefault="001E0D4A" w:rsidP="001E0D4A">
      <w:pPr>
        <w:jc w:val="left"/>
        <w:rPr>
          <w:color w:val="000000"/>
        </w:rPr>
      </w:pPr>
    </w:p>
    <w:p w14:paraId="77C6F173" w14:textId="2AD04EA2" w:rsidR="00D07380" w:rsidRPr="00F20E10" w:rsidRDefault="00A93504" w:rsidP="00A56C8A">
      <w:pPr>
        <w:pStyle w:val="ListParagraph"/>
        <w:numPr>
          <w:ilvl w:val="0"/>
          <w:numId w:val="1"/>
        </w:numPr>
        <w:jc w:val="left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  <w:lang w:eastAsia="en-US"/>
        </w:rPr>
        <w:t xml:space="preserve">  </w:t>
      </w:r>
      <w:r w:rsidR="009C3ABF" w:rsidRPr="00F20E10">
        <w:rPr>
          <w:rFonts w:cstheme="minorHAnsi"/>
          <w:color w:val="000000"/>
          <w:szCs w:val="22"/>
          <w:lang w:eastAsia="en-US"/>
        </w:rPr>
        <w:t>Close</w:t>
      </w:r>
    </w:p>
    <w:sectPr w:rsidR="00D07380" w:rsidRPr="00F20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ven Pro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0B3B"/>
    <w:multiLevelType w:val="hybridMultilevel"/>
    <w:tmpl w:val="05141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6356"/>
    <w:multiLevelType w:val="hybridMultilevel"/>
    <w:tmpl w:val="2D22C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51F2"/>
    <w:multiLevelType w:val="hybridMultilevel"/>
    <w:tmpl w:val="D4FA294E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F2829B1"/>
    <w:multiLevelType w:val="multilevel"/>
    <w:tmpl w:val="A904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C7CA3"/>
    <w:multiLevelType w:val="hybridMultilevel"/>
    <w:tmpl w:val="AD365DF2"/>
    <w:lvl w:ilvl="0" w:tplc="65864A60">
      <w:numFmt w:val="bullet"/>
      <w:lvlText w:val="•"/>
      <w:lvlJc w:val="left"/>
      <w:pPr>
        <w:ind w:left="720" w:hanging="360"/>
      </w:pPr>
      <w:rPr>
        <w:rFonts w:ascii="Maven Pro" w:eastAsia="Calibri" w:hAnsi="Maven Pro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13088"/>
    <w:multiLevelType w:val="multilevel"/>
    <w:tmpl w:val="F2181062"/>
    <w:lvl w:ilvl="0">
      <w:start w:val="1"/>
      <w:numFmt w:val="bullet"/>
      <w:lvlText w:val=""/>
      <w:lvlJc w:val="left"/>
      <w:pPr>
        <w:tabs>
          <w:tab w:val="num" w:pos="6314"/>
        </w:tabs>
        <w:ind w:left="6314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7034"/>
        </w:tabs>
        <w:ind w:left="7034" w:hanging="360"/>
      </w:pPr>
      <w:rPr>
        <w:rFonts w:ascii="Symbol" w:hAnsi="Symbol" w:hint="default"/>
        <w:sz w:val="20"/>
      </w:rPr>
    </w:lvl>
    <w:lvl w:ilvl="2">
      <w:numFmt w:val="decimal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abstractNum w:abstractNumId="6" w15:restartNumberingAfterBreak="0">
    <w:nsid w:val="37E62B25"/>
    <w:multiLevelType w:val="hybridMultilevel"/>
    <w:tmpl w:val="CAFA4D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D6719"/>
    <w:multiLevelType w:val="hybridMultilevel"/>
    <w:tmpl w:val="09F8BFF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701FF3"/>
    <w:multiLevelType w:val="hybridMultilevel"/>
    <w:tmpl w:val="E8186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24AF4"/>
    <w:multiLevelType w:val="hybridMultilevel"/>
    <w:tmpl w:val="497C836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D4B4E55"/>
    <w:multiLevelType w:val="hybridMultilevel"/>
    <w:tmpl w:val="98C8C610"/>
    <w:lvl w:ilvl="0" w:tplc="65864A60">
      <w:numFmt w:val="bullet"/>
      <w:lvlText w:val="•"/>
      <w:lvlJc w:val="left"/>
      <w:pPr>
        <w:ind w:left="720" w:hanging="360"/>
      </w:pPr>
      <w:rPr>
        <w:rFonts w:ascii="Maven Pro" w:eastAsia="Calibri" w:hAnsi="Maven Pro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B51BF"/>
    <w:multiLevelType w:val="hybridMultilevel"/>
    <w:tmpl w:val="E092E14E"/>
    <w:lvl w:ilvl="0" w:tplc="DF762E92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EBD5EA6"/>
    <w:multiLevelType w:val="hybridMultilevel"/>
    <w:tmpl w:val="49EE9BCE"/>
    <w:lvl w:ilvl="0" w:tplc="E5660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0D"/>
    <w:rsid w:val="000350F5"/>
    <w:rsid w:val="000C4BC6"/>
    <w:rsid w:val="00174CC4"/>
    <w:rsid w:val="001E0D4A"/>
    <w:rsid w:val="00222C75"/>
    <w:rsid w:val="0022455A"/>
    <w:rsid w:val="002546E4"/>
    <w:rsid w:val="002D7562"/>
    <w:rsid w:val="00391555"/>
    <w:rsid w:val="0042380E"/>
    <w:rsid w:val="00524220"/>
    <w:rsid w:val="00563A3B"/>
    <w:rsid w:val="005B2D2A"/>
    <w:rsid w:val="005F553B"/>
    <w:rsid w:val="00644A1A"/>
    <w:rsid w:val="006652F0"/>
    <w:rsid w:val="006C1D07"/>
    <w:rsid w:val="006F37EF"/>
    <w:rsid w:val="006F539C"/>
    <w:rsid w:val="00732A72"/>
    <w:rsid w:val="007507B4"/>
    <w:rsid w:val="007A080D"/>
    <w:rsid w:val="007C27D6"/>
    <w:rsid w:val="00805E83"/>
    <w:rsid w:val="00820B5F"/>
    <w:rsid w:val="00860728"/>
    <w:rsid w:val="00870869"/>
    <w:rsid w:val="008710BB"/>
    <w:rsid w:val="008F5DE9"/>
    <w:rsid w:val="00903E0D"/>
    <w:rsid w:val="009978DC"/>
    <w:rsid w:val="009B233F"/>
    <w:rsid w:val="009C0E68"/>
    <w:rsid w:val="009C3ABF"/>
    <w:rsid w:val="009D27B5"/>
    <w:rsid w:val="009E4E79"/>
    <w:rsid w:val="00A465AF"/>
    <w:rsid w:val="00A520EC"/>
    <w:rsid w:val="00A56C8A"/>
    <w:rsid w:val="00A93504"/>
    <w:rsid w:val="00AE2B8E"/>
    <w:rsid w:val="00AE3087"/>
    <w:rsid w:val="00B32571"/>
    <w:rsid w:val="00BA7876"/>
    <w:rsid w:val="00BB76B9"/>
    <w:rsid w:val="00BE693B"/>
    <w:rsid w:val="00C03D23"/>
    <w:rsid w:val="00C10001"/>
    <w:rsid w:val="00C35D9D"/>
    <w:rsid w:val="00C81EE8"/>
    <w:rsid w:val="00C9401E"/>
    <w:rsid w:val="00D07380"/>
    <w:rsid w:val="00D8154E"/>
    <w:rsid w:val="00DB1666"/>
    <w:rsid w:val="00DD1996"/>
    <w:rsid w:val="00E15F83"/>
    <w:rsid w:val="00E6304D"/>
    <w:rsid w:val="00E92EA7"/>
    <w:rsid w:val="00EA319E"/>
    <w:rsid w:val="00EF1740"/>
    <w:rsid w:val="00F20E10"/>
    <w:rsid w:val="00F24270"/>
    <w:rsid w:val="00F35DCB"/>
    <w:rsid w:val="00F3634E"/>
    <w:rsid w:val="00F54228"/>
    <w:rsid w:val="00F936C7"/>
    <w:rsid w:val="00FA00E2"/>
    <w:rsid w:val="00FA30EB"/>
    <w:rsid w:val="00FE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85BB8"/>
  <w15:chartTrackingRefBased/>
  <w15:docId w15:val="{DD49276A-2F8B-4AFE-BB72-D22DC2E4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80D"/>
    <w:pPr>
      <w:spacing w:after="0" w:line="240" w:lineRule="auto"/>
      <w:jc w:val="both"/>
    </w:pPr>
    <w:rPr>
      <w:rFonts w:ascii="Verdana" w:eastAsia="Times New Roman" w:hAnsi="Verdana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A080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652F0"/>
    <w:rPr>
      <w:rFonts w:ascii="Verdana" w:eastAsia="Times New Roman" w:hAnsi="Verdana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99A5744D14B4B92DD49B2C7BC5F6E" ma:contentTypeVersion="11" ma:contentTypeDescription="Create a new document." ma:contentTypeScope="" ma:versionID="8ad2a4469a79337bcb7d1089b4fcab58">
  <xsd:schema xmlns:xsd="http://www.w3.org/2001/XMLSchema" xmlns:xs="http://www.w3.org/2001/XMLSchema" xmlns:p="http://schemas.microsoft.com/office/2006/metadata/properties" xmlns:ns3="28d24b8f-29f2-49ca-aa5b-dbde2d94cf9c" xmlns:ns4="c781fcaa-52e1-4021-a8d3-b66c85bc600e" targetNamespace="http://schemas.microsoft.com/office/2006/metadata/properties" ma:root="true" ma:fieldsID="7c36d6b48d7e5ab24914cc4f41a49ff7" ns3:_="" ns4:_="">
    <xsd:import namespace="28d24b8f-29f2-49ca-aa5b-dbde2d94cf9c"/>
    <xsd:import namespace="c781fcaa-52e1-4021-a8d3-b66c85bc60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4b8f-29f2-49ca-aa5b-dbde2d94c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fcaa-52e1-4021-a8d3-b66c85bc6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B0E1A-FB15-4D3B-84F6-ACA2707B3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24b8f-29f2-49ca-aa5b-dbde2d94cf9c"/>
    <ds:schemaRef ds:uri="c781fcaa-52e1-4021-a8d3-b66c85bc6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59D77-C8B9-474E-A6C6-BCD6E5ACD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D89DD6-55B2-46F6-A01E-609D108F4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Vyse, Jennifer</dc:creator>
  <cp:keywords/>
  <dc:description/>
  <cp:lastModifiedBy>Normington, Stephen</cp:lastModifiedBy>
  <cp:revision>3</cp:revision>
  <cp:lastPrinted>2020-11-17T09:43:00Z</cp:lastPrinted>
  <dcterms:created xsi:type="dcterms:W3CDTF">2021-06-18T14:27:00Z</dcterms:created>
  <dcterms:modified xsi:type="dcterms:W3CDTF">2021-06-18T14:55:00Z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0x010100A1499A5744D14B4B92DD49B2C7BC5F6E</vt:lpwstr>
  </property>
</Properties>
</file>